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110</w:t>
      </w:r>
    </w:p>
    <w:p>
      <w:r>
        <w:t>Bundesgericht (BGE), 1986-10-06, FR</w:t>
      </w:r>
    </w:p>
    <w:p>
      <w:r>
        <w:rPr>
          <w:b/>
        </w:rPr>
        <w:t xml:space="preserve">Quelle: </w:t>
      </w:r>
      <w:r>
        <w:t>https://mcp.opencaselaw.ch/entscheid/bge_124 II 110</w:t>
      </w:r>
    </w:p>
    <w:p>
      <w:r>
        <w:t>FR: ATF 124 II 110</w:t>
      </w:r>
    </w:p>
    <w:p>
      <w:r>
        <w:t>IT: DTF 124 II 110</w:t>
      </w:r>
    </w:p>
    <w:p>
      <w:pPr>
        <w:pStyle w:val="Heading2"/>
      </w:pPr>
      <w:r>
        <w:t>Regeste</w:t>
      </w:r>
    </w:p>
    <w:p>
      <w:r>
        <w:t>Regeste Art. 13 lit. f BVO: Ausnahme von den Begrenzungsmassnahmen. (Härtefall) Voraussetzungen für die Anwendung von Art. 13 lit. f BVO (E. 2). Bedeutung der Aufenthaltsdauer in der Schweiz bei der Würdigung der Situation eines Ausländers unter dem Gesichtspunkt von Art. 13 lit. f BVO. Ein Aufenthalt von zumindest zehn Jahren führt grundsätzlich zur Gewährung einer Ausnahme von den Begrenzungsmassnahmen, vorausgesetzt dass sich der Ausländer tadellos verhalten hat, finanziell unabhängig sowie sozial und beruflich allgemein gut integriert ist (E. 3).</w:t>
      </w:r>
    </w:p>
    <w:p>
      <w:pPr>
        <w:pStyle w:val="Heading2"/>
      </w:pPr>
      <w:r>
        <w:t>Erwägungen</w:t>
      </w:r>
    </w:p>
    <w:p>
      <w:r>
        <w:rPr>
          <w:b/>
        </w:rPr>
        <w:t>E. 2</w:t>
      </w:r>
    </w:p>
    <w:p>
      <w:r>
        <w:t>Les mesures de limitation visent, en premier lieu, à assurer un rapport équilibré entre l'effectif de la population suisse et celui BGE 124 II 110 S. 112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123 II 125 consid. 2 p. 126/127 et consid. 5b/aa p. 132; ATF 119 Ib 33 consid. 4c p. 43; 117 Ib 317 consid. 4b p. 321/322).</w:t>
      </w:r>
    </w:p>
    <w:p>
      <w:r>
        <w:rPr>
          <w:b/>
        </w:rPr>
        <w:t>E. 3</w:t>
      </w:r>
    </w:p>
    <w:p>
      <w:r>
        <w:t>Ainsi que l'a reconnu le Département fédéral, le recourant est bien intégré sur le plan professionnel et s'est toujours comporté de manière irréprochable en Suisse. De plus, le recourant est financièrement BGE 124 II 110 S. 113 autonome, est bien assimilé sur le plan social et entretient de bonnes relations avec son entourage. En outre, plusieurs membres de sa famille vivent en Suisse. Enfin, il n'a pas été contesté qu'il maîtrise le dialecte de Bâle, où il séjourne depuis son arrivée en Suisse. En principe, un long séjour en Suisse et une intégration normale, comme en l'espèce, ne suffisent pas à eux seuls pour obtenir une exception aux mesures de limitation. La jurisprudence en a ainsi décidé même dans le cas où les intéressés se trouvaient en Suisse depuis sept à huit ans (ALAIN WURZBURGER, La jurisprudence récente du Tribunal fédéral en matière de police des étrangers, RDAF 53/1997 I, p. 295 et les références citées à la note 85). Toutefois, dans l'appréciation d'ensemble de la situation d'un étranger sollicitant une exemption des mesures de limitation au sens de l'art. 13 lettre f OLE, il y a lieu de tenir compte de la très longue durée du séjour en Suisse.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On doit même admettre qu'à partir d'un séjour de dix ans en Suisse, le renvoi dans le pays d'origine d'un requérant dont la demande d'asile n'a pas encore été définitivement tranchée comporte normalement une rigueur excessive constitutive du cas personnel d'extrême gravité de l'art. 13 lettre f OLE, pour autant qu'il s'agisse d'un étranger financièrement autonome, bien intégré sur les plans social et professionnel et qui s'est comporté jusqu'ici tout à fait correctement. Enfin, encore faut-il que la durée du séjour n'ait pas été artificiellement prolongée par l'utilisation abusive de procédures dilatoires. Le recourant répond à ces conditions, de sorte qu'il doit bénéficier d'une exception aux mesures de limitation.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